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BASES DE LA PROMOCIÓN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“PARTICIPA POR 1 DE 10 ABONOS DE $500.000”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Santiago de Chile, a 04 de Enero de 2023,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Servicios Financieros y Administración de Créditos Comerciales S.A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en adelante también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Empresa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”, Rol Único Tributario 77.085.380-K, ha acordado la realización de una promoción, con los términos y condiciones indicadas en las siguientes bases de promoción, en adelante también las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“Bases”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Bases de esta Promoción se publicarán en la página </w:t>
      </w:r>
      <w:hyperlink r:id="rId7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www.tarjetaliderbci.cl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PRIMERO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Antecedentes Generales y vigencia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efectuará un sorteo denominado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“PARTICIPA POR 1 DE 10 ABONOS DE $500.000”,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adelante la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Promoción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”, que se tendrá vigente los días 04, 08, 09, 11, 15, 18, 22, 23, 29 y 30 de Enero 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tyjcwt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Promoción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consiste en sorteos de abonos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$500.000 entre aquellos clientes que, dentro de los días señalados como vigentes,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contraten un  Super Avance con su tarjeta Lider BCI por medio del dispositivo móvil de “Tarjeta Lider Bci” (“App”) o  la web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www.tarjetaliderbci.cl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(“Web”).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cada uno de los clientes que resulten ganadores, se le abonará $500.000 a su tarjeta Lider Bci en el estado de cuenta siguiente o subsiguiente a la fecha de realización del sorteo. 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odo lo anterior, sujeto a evaluación crediticia al momento de solicitar Tarjeta Líder Bci y según los términos y condiciones que se indican en estas Bases.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Requisitos para participar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Podrán participar en la Promoción sólo aquellas personas naturales que cumplan con los siguientes requisitos: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Ser clientes titulares de la Tarjeta Lider BCI.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Que contraten Super Avance con su tarjeta Lider Bci durante el período de vigencia de la promoción.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Que la contratación del Super Avance se realice por medio de “App” o “Web”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estas personas se les denominará en adelante los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“Participantes”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 el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“Participante”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 perjuicio de lo anterior, no podrán participar de la Promoción aquellos clientes titulares que se encuentren con la Tarjeta bloqueada por mora, plan de cobranza vigente o cualquier otro tipo de bloqueo, así como tampoco, todos aquellos colaboradores Servicios Financieros S.A, Administradora de Tarjetas Servicios Financieros Limitada, SSFF Corredores De Seguros y Gestión Financiera Limitada, y Servicios y Cobranzas Seyco Limitada.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TERCERO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Premios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Participantes que cumplan con las condiciones indicadas en estas Bases, estarán participando por uno de los cinco premios sorteados consistentes en un abono de $500.0000 en su tarjeta Lider Bci; en adelante, los “Premios” o, individualmente, el “Premio”.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10 Premios en total.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CUARTO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Mecánica de los Sorteos.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Todo Participante que, dentro del plazo y cumpliendo con las condiciones establecidas en estas Bases, que contrate un  Super Avance por canal App o web, con su tarjeta Lider BCI durante el periodo de vigencia de la Promoción, estará participando en el sorteo 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Premio señalado en la cláusula precedente.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Cada Super Avance se cuenta como 1 oportunidad para la participación del sorteo, por lo que, si un Participante contrata más productos en días diferentes en acuerdo a la vigencia antes señalada, más posibilidades tiene de ganar. 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QUINTO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Sorteo.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heading=h.1fob9te" w:id="4"/>
      <w:bookmarkEnd w:id="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 realizará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sorteo mediante tómbola electrónica el día 02 de febrero.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cd9bktc5b2kx" w:id="5"/>
      <w:bookmarkEnd w:id="5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SEXTO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Publicación de ganadores y entrega del premio.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Los ganadores se publicarán el día 02 de febrero en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www.tarjetaliderbci.cl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sección “bases y resultados concursos”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así como también, en un post en Instagram de la cuenta “Tarjeta Lider Bci” (@tarjetaliderbci), dentro de los 3 días hábiles siguiente al día del sorteo. La entrega de los premios se realizará mediante abono en el estado de cuenta siguiente o subsiguiente a la fecha de realización del sorteo.</w:t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SÉPTIMO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Suspensión o Modificación de la Promoción.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 podrán suspender o modificar los efectos de la presente Promoción, lo cual será oportunamente comunicado a través de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www.tarjetaliderbci.cl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en situaciones de fuerza mayor o caso fortuito, o en razón de actos, disposiciones u órdenes de autoridad competente o con motivo de circunstancias sobrevinientes que impidan su realización u obliguen a modificar las condiciones de la misma.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SÉPTIMO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Aceptación de Bases y Derechos de uso de Imagen.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participación de los Participantes en esta Promoción implica para todos los efectos legales, la total aceptación de estas Bases.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Todos los Participantes de la Promoción autorizan desde ya, expresamente y sin necesidad de otra autorización especial, a difundir sus imágenes, ya sea mediante la toma de fotografías y/o video tapes o filmaciones de cualquier tipo que se efectúen de los participantes y/o de su grupo familiar, todo ello en relación con su participación en la Promoción, renunciando todos ellos a recibir cualquier compensación, sea en dinero o en especie, por dicha difusión.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OCTAVO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Responsabilidad.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responsabilidad de la promoción, entrega, calidad, estado, garantía de calidad de los productos o servicios en que consista el beneficio, como la ulterior atención que ellos demanden serán de exclusiva responsabilidad de Servicios Financieros y Administración de Créditos Comerciales S.A.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6"/>
      <w:bookmarkEnd w:id="6"/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NOVENO: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Solución de Conflictos.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caso de presentarse dificultades por parte de consumidores o participantes de la Promoción a la hora de hacer efectivo el premio señalado en esta Promoción, deberá presentarse un reclamo a Servicios Financieros y Administración de Créditos Comerciales S.A. al correo electrónico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servicioalcliente@ssff.cl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 llamando al teléfono 600 600 5757.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Todo lo anterior, sin perjuicio del derecho de los Participantes de ejercer los derechos legales que le correspondan.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ervicioalcliente@ssff.cl" TargetMode="External"/><Relationship Id="rId10" Type="http://schemas.openxmlformats.org/officeDocument/2006/relationships/hyperlink" Target="https://lm.facebook.com/l.php?u=http%3A%2F%2Fwww.tarjetaliderbci.cl%2F%3Ffbclid%3DIwAR2rWvMVV-_aX-aZtcGBCT7KFe9V8z-tpIW0iS2lEVok8Hcm0ciP9CNOLNs&amp;h=AT0tKZOlf0cQHJN8Bdy3pwVUP4y0ut7WvMJYdCsTR0vwcR3fydaqRBgn4sF8ZHyIVYJpBHM2MmF_MTeN3IrCN90utPYxODx7J6OGxjUcIGI3lxhmVIgMiaCUHhQHGg" TargetMode="External"/><Relationship Id="rId9" Type="http://schemas.openxmlformats.org/officeDocument/2006/relationships/hyperlink" Target="http://www.tarjetaliderbci.c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m.facebook.com/l.php?u=http%3A%2F%2Fwww.tarjetaliderbci.cl%2F%3Ffbclid%3DIwAR2EhOx8FDnWx2CP7ydnMRl4c-SRUMlfAa-zCEEtEGPbS5okWBJ70Jq3eqA&amp;h=AT2jMVa7XIwzSzgVFuI-r0iXufgCkcTxpa1k4zxOcbfBGAK8QbTTpcAXY6wJuWTPOIHBobjJ6izbciq4-QCs3Lm31Cd8iZjhS3es5aljh8b0yDeOnkzroGkVWhkzWwSM8fvgsQl8o8Q" TargetMode="External"/><Relationship Id="rId8" Type="http://schemas.openxmlformats.org/officeDocument/2006/relationships/hyperlink" Target="http://www.tarjetaliderbci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U2ihLjkDVvAYjGfwxipqPdrQNg==">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